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ANEXO II – CARTA DE MOTIVAÇÃO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 candidato deverá elaborar uma Carta de Motivação, contendo entre 500 a 700 palavras, digitada em fonte Times New Roman ou Arial, tamanho 12,  utilizando a norma culta da língua, de forma coesa e coerente, expondo os motivos que lhe qualificam como um candidato ideal para a seleção, incluindo: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left="108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Apresentação pessoal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ind w:left="108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Atuação ao longo do curso e resumo da vida acadêmica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left="108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Motivação para o intercâmbio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ind w:left="108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Representação do IFMG no exterior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left="108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Proposta de devolutiva após retorno ao Brasil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993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948690" cy="93154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8690" cy="931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keepNext w:val="1"/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6">
    <w:pPr>
      <w:keepNext w:val="1"/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DIRETORIA DE RELAÇÕES INTERNACIONAIS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Avenida Professor Mário Werneck, 2590, 8º Andar, Bairro Buritis, CEP: 30575-180, Belo Horizonte, MG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Tel. (31) 2513 5165,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internacionaliza@ifmg.edu.br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705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 w:val="1"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5AE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5AE4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061B9F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A0C3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ternacionaliza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dkJX6L+Jdjwkp+2V4ao5UacZfQ==">AMUW2mXyP1ZFxeih/HmjJoZVzcjMuwu6wl3hIVeeUiMS1xOws6HF8ub9UxTJA6H1P/dIW7Hq7XiiaM9J++hVQnvjrMFbh6ZTO5kqcXbyEYsR5BS0O3K9ijUM3gp1Qf8A8SYusmKJNi3v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2023-03-27T17:09:00Z</dcterms:created>
  <dc:creator>Dayana Cecília Reis Beirigo Dutra</dc:creator>
</cp:coreProperties>
</file>