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5F1" w14:textId="77777777" w:rsidR="00BB5301" w:rsidRDefault="00000000">
      <w:pPr>
        <w:jc w:val="center"/>
        <w:rPr>
          <w:b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6"/>
          <w:szCs w:val="26"/>
        </w:rPr>
        <w:t>ANEXO II – CARTA DE MOTIVAÇÃO</w:t>
      </w:r>
    </w:p>
    <w:p w14:paraId="242DC2D0" w14:textId="77777777" w:rsidR="00BB5301" w:rsidRDefault="00BB5301">
      <w:pPr>
        <w:spacing w:after="0" w:line="240" w:lineRule="auto"/>
      </w:pPr>
    </w:p>
    <w:p w14:paraId="0A976B40" w14:textId="77777777" w:rsidR="00BB5301" w:rsidRDefault="00BB5301">
      <w:p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</w:p>
    <w:p w14:paraId="6DFA26E0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INSTRUÇÕES:</w:t>
      </w:r>
    </w:p>
    <w:p w14:paraId="30B25B28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455FEA11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O candidato deverá elaborar uma Carta de Motivação, contendo entre 500 a 700 palavras, digitada em fonte Times New Roman ou Arial, tamanho </w:t>
      </w:r>
      <w:proofErr w:type="gramStart"/>
      <w:r>
        <w:rPr>
          <w:rFonts w:ascii="Times" w:eastAsia="Times" w:hAnsi="Times" w:cs="Times"/>
          <w:sz w:val="24"/>
          <w:szCs w:val="24"/>
        </w:rPr>
        <w:t>12,  utilizando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a norma culta da língua, de forma coesa e coerente, expondo os motivos que lhe qualificam como um candidato ideal para a seleção, incluindo: </w:t>
      </w:r>
    </w:p>
    <w:p w14:paraId="0BA37488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18BA3D88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Apresentação pessoal</w:t>
      </w:r>
    </w:p>
    <w:p w14:paraId="3BD73FC1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4BB5B58A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Atuação ao longo do curso e resumo da vida acadêmica</w:t>
      </w:r>
    </w:p>
    <w:p w14:paraId="15025497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1573D616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Motivação para o intercâmbio</w:t>
      </w:r>
    </w:p>
    <w:p w14:paraId="17E8CA6F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58AABFE4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Representação do IFMG no exterior</w:t>
      </w:r>
    </w:p>
    <w:p w14:paraId="2990772E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2638E206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Proposta de devolutiva após retorno ao Brasil</w:t>
      </w:r>
    </w:p>
    <w:p w14:paraId="6F43D080" w14:textId="77777777" w:rsidR="00BB5301" w:rsidRDefault="00BB5301">
      <w:pPr>
        <w:spacing w:after="0" w:line="240" w:lineRule="auto"/>
      </w:pPr>
    </w:p>
    <w:sectPr w:rsidR="00BB5301">
      <w:headerReference w:type="first" r:id="rId7"/>
      <w:pgSz w:w="11906" w:h="16838"/>
      <w:pgMar w:top="1417" w:right="1701" w:bottom="993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2A19" w14:textId="77777777" w:rsidR="00B24F21" w:rsidRDefault="00B24F21">
      <w:pPr>
        <w:spacing w:after="0" w:line="240" w:lineRule="auto"/>
      </w:pPr>
      <w:r>
        <w:separator/>
      </w:r>
    </w:p>
  </w:endnote>
  <w:endnote w:type="continuationSeparator" w:id="0">
    <w:p w14:paraId="010A6AC7" w14:textId="77777777" w:rsidR="00B24F21" w:rsidRDefault="00B2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0965" w14:textId="77777777" w:rsidR="00B24F21" w:rsidRDefault="00B24F21">
      <w:pPr>
        <w:spacing w:after="0" w:line="240" w:lineRule="auto"/>
      </w:pPr>
      <w:r>
        <w:separator/>
      </w:r>
    </w:p>
  </w:footnote>
  <w:footnote w:type="continuationSeparator" w:id="0">
    <w:p w14:paraId="6B5B456B" w14:textId="77777777" w:rsidR="00B24F21" w:rsidRDefault="00B2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FDAA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 wp14:anchorId="2A1F1C3D" wp14:editId="068B0BE2">
          <wp:extent cx="948690" cy="93154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4633E9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07421A42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0DF61AB0" w14:textId="77777777" w:rsidR="00BB5301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356A9B12" w14:textId="77777777" w:rsidR="00BB5301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14:paraId="55CBBFCE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14:paraId="048A1982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14:paraId="41013145" w14:textId="77777777" w:rsidR="00BB5301" w:rsidRDefault="00BB5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01"/>
    <w:rsid w:val="006164F6"/>
    <w:rsid w:val="00B24F21"/>
    <w:rsid w:val="00B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3ED3"/>
  <w15:docId w15:val="{C15245DD-EE92-498D-A5CB-D43808A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dkJX6L+Jdjwkp+2V4ao5UacZfQ==">AMUW2mXyP1ZFxeih/HmjJoZVzcjMuwu6wl3hIVeeUiMS1xOws6HF8ub9UxTJA6H1P/dIW7Hq7XiiaM9J++hVQnvjrMFbh6ZTO5kqcXbyEYsR5BS0O3K9ijUM3gp1Qf8A8SYusmKJNi3v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Cátia Barros de Souza</cp:lastModifiedBy>
  <cp:revision>2</cp:revision>
  <dcterms:created xsi:type="dcterms:W3CDTF">2023-03-27T18:32:00Z</dcterms:created>
  <dcterms:modified xsi:type="dcterms:W3CDTF">2023-03-27T18:32:00Z</dcterms:modified>
</cp:coreProperties>
</file>